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85466" w14:textId="77777777" w:rsidR="004B2024" w:rsidRPr="004B2024" w:rsidRDefault="004B2024" w:rsidP="004B2024">
      <w:pPr>
        <w:pStyle w:val="Heading1"/>
        <w:rPr>
          <w:sz w:val="48"/>
        </w:rPr>
      </w:pPr>
      <w:r w:rsidRPr="004B2024">
        <w:rPr>
          <w:sz w:val="48"/>
        </w:rPr>
        <w:t>OER Committee Meeting Minutes</w:t>
      </w:r>
    </w:p>
    <w:p w14:paraId="7F0A7E47" w14:textId="73A9E62E" w:rsidR="004B2024" w:rsidRPr="004B2024" w:rsidRDefault="004B2024" w:rsidP="004B2024">
      <w:pPr>
        <w:pStyle w:val="Heading2"/>
        <w:rPr>
          <w:color w:val="auto"/>
        </w:rPr>
      </w:pPr>
      <w:r w:rsidRPr="004B2024">
        <w:rPr>
          <w:color w:val="auto"/>
        </w:rPr>
        <w:t>Date | time 3/7/2018 12:00 PM| Location Library – Orientation Room</w:t>
      </w:r>
    </w:p>
    <w:p w14:paraId="57F07708" w14:textId="77777777" w:rsidR="004B2024" w:rsidRPr="004B2024" w:rsidRDefault="004B2024" w:rsidP="004B2024"/>
    <w:p w14:paraId="509B76F5" w14:textId="6B05BF5C" w:rsidR="004B2024" w:rsidRDefault="004B2024" w:rsidP="004B2024">
      <w:pPr>
        <w:pStyle w:val="Heading3"/>
      </w:pPr>
      <w:r>
        <w:t xml:space="preserve">MEMBERS </w:t>
      </w:r>
    </w:p>
    <w:p w14:paraId="0653C450" w14:textId="77777777" w:rsidR="004B2024" w:rsidRDefault="004B2024" w:rsidP="004B2024">
      <w:pPr>
        <w:spacing w:after="0"/>
      </w:pPr>
      <w:r>
        <w:t>Chair: Walter Butler</w:t>
      </w:r>
    </w:p>
    <w:p w14:paraId="626B593B" w14:textId="77777777" w:rsidR="004B2024" w:rsidRDefault="004B2024" w:rsidP="004B2024">
      <w:pPr>
        <w:spacing w:after="0"/>
      </w:pPr>
      <w:r>
        <w:t>Bookstore: Lea Nava, Leslie Thompson</w:t>
      </w:r>
    </w:p>
    <w:p w14:paraId="5F638125" w14:textId="77777777" w:rsidR="004B2024" w:rsidRDefault="004B2024" w:rsidP="004B2024">
      <w:pPr>
        <w:spacing w:after="0"/>
      </w:pPr>
      <w:r>
        <w:t>Counseling: Lily Tran</w:t>
      </w:r>
    </w:p>
    <w:p w14:paraId="24519CCF" w14:textId="77777777" w:rsidR="004B2024" w:rsidRDefault="004B2024" w:rsidP="004B2024">
      <w:pPr>
        <w:spacing w:after="0"/>
      </w:pPr>
      <w:r>
        <w:t>Distance Ed: Leslie Tirapelle</w:t>
      </w:r>
    </w:p>
    <w:p w14:paraId="05C0E715" w14:textId="77777777" w:rsidR="004B2024" w:rsidRDefault="004B2024" w:rsidP="004B2024">
      <w:pPr>
        <w:spacing w:after="0"/>
      </w:pPr>
      <w:r>
        <w:t>DSP&amp;S: Alex Marositz, Mark Sakata</w:t>
      </w:r>
    </w:p>
    <w:p w14:paraId="73EC7EB9" w14:textId="77777777" w:rsidR="004B2024" w:rsidRDefault="004B2024" w:rsidP="004B2024">
      <w:pPr>
        <w:spacing w:after="0"/>
      </w:pPr>
      <w:r>
        <w:t>Language &amp; ESL: Laura Godio, Manuel Sanchez</w:t>
      </w:r>
    </w:p>
    <w:p w14:paraId="3D449C97" w14:textId="77777777" w:rsidR="004B2024" w:rsidRDefault="004B2024" w:rsidP="004B2024">
      <w:pPr>
        <w:spacing w:after="0"/>
      </w:pPr>
      <w:r>
        <w:t>Math &amp; Computer Science:  Jose Castanon, David Matthews</w:t>
      </w:r>
    </w:p>
    <w:p w14:paraId="48D1E4BE" w14:textId="77777777" w:rsidR="004B2024" w:rsidRDefault="004B2024" w:rsidP="004B2024">
      <w:pPr>
        <w:spacing w:after="0"/>
      </w:pPr>
      <w:r>
        <w:t xml:space="preserve">Natural Sciences: Susan Bower </w:t>
      </w:r>
    </w:p>
    <w:p w14:paraId="3A81F89B" w14:textId="77777777" w:rsidR="004B2024" w:rsidRDefault="004B2024" w:rsidP="004B2024">
      <w:pPr>
        <w:spacing w:after="0"/>
      </w:pPr>
      <w:r>
        <w:t xml:space="preserve">Noncredit: Teresa Deukmedjian, Sarey Torres </w:t>
      </w:r>
    </w:p>
    <w:p w14:paraId="5B1EFD74" w14:textId="77777777" w:rsidR="004B2024" w:rsidRDefault="004B2024" w:rsidP="004B2024">
      <w:pPr>
        <w:spacing w:after="0"/>
      </w:pPr>
      <w:r>
        <w:t>Social Science: Julie Kiotas, Linda Stroud, Thea Alvarado</w:t>
      </w:r>
    </w:p>
    <w:p w14:paraId="6D2FE72D" w14:textId="1B77B9C8" w:rsidR="004B2024" w:rsidRDefault="004B2024" w:rsidP="004B2024">
      <w:pPr>
        <w:spacing w:after="0"/>
      </w:pPr>
      <w:r>
        <w:t>Associated Students: Madeline King</w:t>
      </w:r>
      <w:r>
        <w:tab/>
      </w:r>
    </w:p>
    <w:p w14:paraId="09F14144" w14:textId="77777777" w:rsidR="004B2024" w:rsidRDefault="004B2024" w:rsidP="004B2024"/>
    <w:p w14:paraId="6AAA0627" w14:textId="676E34EC" w:rsidR="004B2024" w:rsidRDefault="004B2024" w:rsidP="004B2024">
      <w:pPr>
        <w:pStyle w:val="Heading2"/>
      </w:pPr>
      <w:r>
        <w:t>Agenda Items</w:t>
      </w:r>
    </w:p>
    <w:p w14:paraId="7353F8C8" w14:textId="77777777" w:rsidR="004B2024" w:rsidRDefault="004B2024" w:rsidP="004B2024">
      <w:r w:rsidRPr="004B2024">
        <w:rPr>
          <w:b/>
        </w:rPr>
        <w:t>Introductions</w:t>
      </w:r>
      <w:r>
        <w:t xml:space="preserve">: </w:t>
      </w:r>
      <w:r>
        <w:t>12:00 – 12:05</w:t>
      </w:r>
    </w:p>
    <w:p w14:paraId="3F169AC8" w14:textId="2EFE7825" w:rsidR="004B2024" w:rsidRDefault="004B2024" w:rsidP="004B2024">
      <w:pPr>
        <w:ind w:firstLine="720"/>
      </w:pPr>
      <w:r>
        <w:t>Present: Walter, Lea, Lily, Mark, Laura, Jose, Teresa, Sarey, Linda, Thea, Madeline</w:t>
      </w:r>
    </w:p>
    <w:p w14:paraId="70B5F704" w14:textId="4B3D8AFA" w:rsidR="004B2024" w:rsidRDefault="004B2024" w:rsidP="004B2024">
      <w:r w:rsidRPr="004B2024">
        <w:rPr>
          <w:b/>
        </w:rPr>
        <w:t>Current Grants</w:t>
      </w:r>
      <w:r>
        <w:t>: Updates (AB798, ZTC Implementation)</w:t>
      </w:r>
      <w:r>
        <w:t xml:space="preserve"> </w:t>
      </w:r>
      <w:r>
        <w:t>12:05 – 12:10</w:t>
      </w:r>
    </w:p>
    <w:p w14:paraId="0FD240F4" w14:textId="77777777" w:rsidR="004B2024" w:rsidRDefault="004B2024" w:rsidP="004B2024">
      <w:pPr>
        <w:ind w:left="720"/>
      </w:pPr>
      <w:r>
        <w:t xml:space="preserve">As a reminder, AB798 will be ending at the end of the academic year.  We have already fulfilled our obligation to the </w:t>
      </w:r>
      <w:proofErr w:type="gramStart"/>
      <w:r>
        <w:t>grant, but</w:t>
      </w:r>
      <w:proofErr w:type="gramEnd"/>
      <w:r>
        <w:t xml:space="preserve"> will be using remaining funds for the end of the year recognition event. ZTC implementation began January, but we have yet to receive funding.  As a note, the Chancellor’s Office has changed how it provides funding, so that is part of the delay.  To receive funding, in the new system, colleges must send invoices to the Chancellor’s Office for the funds.</w:t>
      </w:r>
    </w:p>
    <w:p w14:paraId="6D0760A8" w14:textId="0A21BC32" w:rsidR="004B2024" w:rsidRDefault="004B2024" w:rsidP="004B2024">
      <w:pPr>
        <w:rPr>
          <w:b/>
        </w:rPr>
      </w:pPr>
      <w:r w:rsidRPr="004B2024">
        <w:rPr>
          <w:b/>
        </w:rPr>
        <w:t>New Grant Opportunity: AB798 Part II</w:t>
      </w:r>
      <w:r>
        <w:rPr>
          <w:b/>
        </w:rPr>
        <w:t xml:space="preserve">; </w:t>
      </w:r>
      <w:r>
        <w:t>12:10 – 12:20</w:t>
      </w:r>
    </w:p>
    <w:p w14:paraId="3A7DBD8E" w14:textId="4F13F508" w:rsidR="004B2024" w:rsidRPr="004B2024" w:rsidRDefault="004B2024" w:rsidP="004B2024">
      <w:pPr>
        <w:ind w:left="720"/>
        <w:rPr>
          <w:b/>
        </w:rPr>
      </w:pPr>
      <w:r>
        <w:t xml:space="preserve">We are eligible to apply for the second round of funding for AB798.  Once again, this will only be to provide funding for professional development.  </w:t>
      </w:r>
      <w:proofErr w:type="gramStart"/>
      <w:r>
        <w:t>In order to</w:t>
      </w:r>
      <w:proofErr w:type="gramEnd"/>
      <w:r>
        <w:t xml:space="preserve"> get the maximum amount of funds ($50,000) we will have to convert 50 sections to an OER.  College 1 is being targeted for this second round as they use a reader that is not an OER.  Shelagh Rose has indicated that she would be interested in moving to OER for College 1.  Even though we will focus on College 1 and report out on those sections, we will also support other divisions, such as non-credit, with this grant if awarded.  The funding period is for two-years. </w:t>
      </w:r>
    </w:p>
    <w:p w14:paraId="04DDC1D0" w14:textId="4930A3FE" w:rsidR="004B2024" w:rsidRDefault="004B2024" w:rsidP="004B2024">
      <w:pPr>
        <w:ind w:left="720"/>
      </w:pPr>
      <w:r>
        <w:t xml:space="preserve">The application is the same as round 1 and will need Academic Senate approval.  Walter will contact Valerie with details.  The application will basically be the </w:t>
      </w:r>
      <w:proofErr w:type="gramStart"/>
      <w:r>
        <w:t>same, but</w:t>
      </w:r>
      <w:proofErr w:type="gramEnd"/>
      <w:r>
        <w:t xml:space="preserve"> will list the OER committee members as team members.  Walter will send the application to the group once completed. It is due June 30th. </w:t>
      </w:r>
      <w:r>
        <w:tab/>
      </w:r>
    </w:p>
    <w:p w14:paraId="3BB97DAD" w14:textId="77777777" w:rsidR="004B2024" w:rsidRDefault="004B2024" w:rsidP="004B2024">
      <w:pPr>
        <w:rPr>
          <w:b/>
        </w:rPr>
      </w:pPr>
      <w:r w:rsidRPr="004B2024">
        <w:rPr>
          <w:b/>
        </w:rPr>
        <w:t xml:space="preserve"> </w:t>
      </w:r>
    </w:p>
    <w:p w14:paraId="4A60F824" w14:textId="680FA854" w:rsidR="004B2024" w:rsidRPr="004B2024" w:rsidRDefault="004B2024" w:rsidP="004B2024">
      <w:pPr>
        <w:rPr>
          <w:b/>
        </w:rPr>
      </w:pPr>
      <w:r w:rsidRPr="004B2024">
        <w:rPr>
          <w:b/>
        </w:rPr>
        <w:lastRenderedPageBreak/>
        <w:t>Flex Day</w:t>
      </w:r>
      <w:r>
        <w:rPr>
          <w:b/>
        </w:rPr>
        <w:t xml:space="preserve">, </w:t>
      </w:r>
      <w:r>
        <w:t>12:20 – 12:35</w:t>
      </w:r>
    </w:p>
    <w:p w14:paraId="2D36506A" w14:textId="61836E0C" w:rsidR="004B2024" w:rsidRDefault="004B2024" w:rsidP="004B2024">
      <w:pPr>
        <w:ind w:left="720"/>
      </w:pPr>
      <w:r>
        <w:t xml:space="preserve">Thea and Sarey have indicated that they will be present at the workshop for OER at flex day to assist in facilitating.  The workshop will focus on introducing OER and reviewing what ZTC sections are. Participants will be given time to look for OER online.  The workshop in D101. </w:t>
      </w:r>
    </w:p>
    <w:p w14:paraId="17B7AD41" w14:textId="49C4B9B6" w:rsidR="004B2024" w:rsidRPr="004B2024" w:rsidRDefault="004B2024" w:rsidP="004B2024">
      <w:pPr>
        <w:rPr>
          <w:b/>
        </w:rPr>
      </w:pPr>
      <w:r w:rsidRPr="004B2024">
        <w:rPr>
          <w:b/>
        </w:rPr>
        <w:t>End of the Year Recognition Event</w:t>
      </w:r>
      <w:r>
        <w:rPr>
          <w:b/>
        </w:rPr>
        <w:t xml:space="preserve">, </w:t>
      </w:r>
      <w:r>
        <w:t>12:35 – 12:50</w:t>
      </w:r>
    </w:p>
    <w:p w14:paraId="7C7E59AC" w14:textId="77777777" w:rsidR="004B2024" w:rsidRDefault="004B2024" w:rsidP="004B2024">
      <w:pPr>
        <w:ind w:firstLine="720"/>
      </w:pPr>
      <w:r>
        <w:t xml:space="preserve">The end of the year event is slotted for May 18th.  OpenStax’s Editor in Chief will be attending.  </w:t>
      </w:r>
    </w:p>
    <w:p w14:paraId="00ED02CB" w14:textId="77777777" w:rsidR="004B2024" w:rsidRDefault="004B2024" w:rsidP="004B2024">
      <w:pPr>
        <w:ind w:left="720"/>
      </w:pPr>
      <w:r>
        <w:t xml:space="preserve">At present, there are over 270 sections for ZTC for Spring semester alone.  Using </w:t>
      </w:r>
      <w:proofErr w:type="spellStart"/>
      <w:r>
        <w:t>EventBrite</w:t>
      </w:r>
      <w:proofErr w:type="spellEnd"/>
      <w:r>
        <w:t xml:space="preserve">, we can gauge how many people will be able to attend – and if we max out on capacity, coming up with alternative timing (such as splitting time between divisions) might be a possibility.  Need to determine how to set up </w:t>
      </w:r>
      <w:proofErr w:type="spellStart"/>
      <w:r>
        <w:t>EventBrite</w:t>
      </w:r>
      <w:proofErr w:type="spellEnd"/>
      <w:r>
        <w:t xml:space="preserve">. </w:t>
      </w:r>
    </w:p>
    <w:p w14:paraId="250EBD58" w14:textId="29E9F352" w:rsidR="004B2024" w:rsidRDefault="004B2024" w:rsidP="004B2024">
      <w:pPr>
        <w:ind w:left="720"/>
      </w:pPr>
      <w:r>
        <w:t xml:space="preserve">Outside of the guest speaker, the event is a lunch with no other activities planned.  Think about </w:t>
      </w:r>
      <w:proofErr w:type="spellStart"/>
      <w:r>
        <w:t>give-aways</w:t>
      </w:r>
      <w:proofErr w:type="spellEnd"/>
      <w:r>
        <w:t xml:space="preserve">, certificate of appreciation? </w:t>
      </w:r>
      <w:r>
        <w:tab/>
      </w:r>
    </w:p>
    <w:p w14:paraId="41828FF7" w14:textId="3F1365B8" w:rsidR="004B2024" w:rsidRPr="004B2024" w:rsidRDefault="004B2024" w:rsidP="004B2024">
      <w:r w:rsidRPr="004B2024">
        <w:rPr>
          <w:b/>
        </w:rPr>
        <w:t>Division Updates / Wrap Up</w:t>
      </w:r>
      <w:r>
        <w:rPr>
          <w:b/>
        </w:rPr>
        <w:t xml:space="preserve">, </w:t>
      </w:r>
      <w:r>
        <w:t>12:50 – 1:00</w:t>
      </w:r>
    </w:p>
    <w:p w14:paraId="48D9DD02" w14:textId="776833D5" w:rsidR="004B2024" w:rsidRDefault="004B2024" w:rsidP="004B2024">
      <w:pPr>
        <w:ind w:left="720"/>
      </w:pPr>
      <w:r>
        <w:t xml:space="preserve">Math (Jose): 105 is looking into zero-cost options.  A meeting with a vendor for a homework/assessment system is scheduled for next week. Also, converting 7A/7B into Math 3 (part of AB 705 efforts).  The new math course has yet to determine a textbook.  </w:t>
      </w:r>
      <w:r w:rsidR="00C00C09">
        <w:t>Jose w</w:t>
      </w:r>
      <w:r>
        <w:t xml:space="preserve">ill be recommending OpenStax.  </w:t>
      </w:r>
      <w:r>
        <w:t xml:space="preserve"> There was discussion about timing the schedule of courses to ensure that they will have IGETC approval (CSU / UC approval) as that approval is separate from our local C&amp;I approval.  Math is also working on finalizing the list of sections for Spring</w:t>
      </w:r>
      <w:r w:rsidR="008F4CBC">
        <w:t xml:space="preserve"> that qualify for the ZTC designation.  None are currently listed in the online class schedule. </w:t>
      </w:r>
    </w:p>
    <w:p w14:paraId="69006D3E" w14:textId="77777777" w:rsidR="004B2024" w:rsidRDefault="004B2024" w:rsidP="004B2024">
      <w:pPr>
        <w:ind w:left="720"/>
      </w:pPr>
      <w:r>
        <w:t xml:space="preserve">Languages (Laura): New sections for Spring have been identified as ZTC.  Amongst the sections, 2 courses – French 1 &amp; 2 will be moving to an OER text and be a ZTC class starting Fall.  French 2 is part of the IGETC requirement for UCs. </w:t>
      </w:r>
    </w:p>
    <w:p w14:paraId="506BC35B" w14:textId="77777777" w:rsidR="004B2024" w:rsidRDefault="004B2024" w:rsidP="004B2024">
      <w:pPr>
        <w:ind w:left="720"/>
      </w:pPr>
      <w:r>
        <w:t xml:space="preserve">Social Sciences (Linda/Thea): Although there were no specific announcements </w:t>
      </w:r>
      <w:proofErr w:type="gramStart"/>
      <w:r>
        <w:t>at this time</w:t>
      </w:r>
      <w:proofErr w:type="gramEnd"/>
      <w:r>
        <w:t xml:space="preserve">, all of Thea’s classes are utilizing OER/ZTC options.  And Linda has been fielding questions from the larger Child Development community regarding to OER, as other community colleges are now able to zero-in (ha!) on our course offerings and they have been reaching out.  Linda has been gracious enough to answer their questions regarding Child Development.  </w:t>
      </w:r>
    </w:p>
    <w:p w14:paraId="5132601C" w14:textId="77777777" w:rsidR="004B2024" w:rsidRDefault="004B2024" w:rsidP="004B2024">
      <w:pPr>
        <w:ind w:left="720"/>
      </w:pPr>
      <w:r>
        <w:t>Bookstore (Lea):  No big announcements regarding OER/ZTC.  The timeline for reporting summer adoptions has not been determined yet.  Note: due to the upcoming change with the bookstore, the process isn’t known yet either.</w:t>
      </w:r>
    </w:p>
    <w:p w14:paraId="149DFB26" w14:textId="77777777" w:rsidR="004B2024" w:rsidRDefault="004B2024" w:rsidP="004B2024">
      <w:pPr>
        <w:ind w:left="720"/>
      </w:pPr>
      <w:r>
        <w:t xml:space="preserve">Non-Credit (Sarey/Teresa): Non-credit will have a department meeting on April 6th to discuss ZTC/OER.  Walter will be attending/presenting.  </w:t>
      </w:r>
    </w:p>
    <w:p w14:paraId="0BB8A6A4" w14:textId="43C37BBD" w:rsidR="004B2024" w:rsidRDefault="004B2024" w:rsidP="004B2024">
      <w:pPr>
        <w:ind w:left="720"/>
      </w:pPr>
      <w:r>
        <w:t xml:space="preserve">DSP&amp;S (Mark): DSP&amp;S are looking into bringing back student success skills classes for DSP&amp;S students.  In doing so, they will be looking at OER materials. There have been no reports of accessibility </w:t>
      </w:r>
      <w:proofErr w:type="gramStart"/>
      <w:r>
        <w:t>issues</w:t>
      </w:r>
      <w:proofErr w:type="gramEnd"/>
      <w:r>
        <w:t xml:space="preserve"> yet that Mark knows </w:t>
      </w:r>
      <w:r w:rsidR="00825CAC">
        <w:t>about</w:t>
      </w:r>
      <w:r>
        <w:t xml:space="preserve"> regarding OER sections/materials. </w:t>
      </w:r>
    </w:p>
    <w:p w14:paraId="45DDA025" w14:textId="77777777" w:rsidR="004B2024" w:rsidRDefault="004B2024" w:rsidP="004B2024">
      <w:r w:rsidRPr="004B2024">
        <w:rPr>
          <w:b/>
        </w:rPr>
        <w:t>NEXT MEETING</w:t>
      </w:r>
      <w:r>
        <w:t xml:space="preserve">:  Date = Wednesday, April 4th, Noon – 1pm. </w:t>
      </w:r>
    </w:p>
    <w:p w14:paraId="3A9C72E2" w14:textId="28D62E14" w:rsidR="004B2024" w:rsidRDefault="004B2024" w:rsidP="004B2024">
      <w:pPr>
        <w:ind w:left="720"/>
      </w:pPr>
      <w:r>
        <w:lastRenderedPageBreak/>
        <w:t xml:space="preserve">Plan to discuss grant award opportunity for faculty interested in converting their class into OER.  The current implementation grant was written to provide grants/awards to faculty to do so that is aligned with the ZTC pathway.  We will need to come up with a way for faculty to apply – probably with a due date in May – so we can review and award by the end of the academic year with the idea that faculty would have the summer to work on it. </w:t>
      </w:r>
    </w:p>
    <w:p w14:paraId="3BB28B0F" w14:textId="4B8D9777" w:rsidR="00EF5E05" w:rsidRDefault="00EF5E05" w:rsidP="004B2024">
      <w:pPr>
        <w:ind w:left="720"/>
      </w:pPr>
    </w:p>
    <w:p w14:paraId="11F881FB" w14:textId="7EC3E71D" w:rsidR="00EF5E05" w:rsidRDefault="00EF5E05" w:rsidP="004B2024">
      <w:pPr>
        <w:ind w:left="720"/>
      </w:pPr>
      <w:r>
        <w:t>Images Shared during meeting</w:t>
      </w:r>
      <w:r w:rsidR="00651DC2">
        <w:t xml:space="preserve"> (data is from Spring 17 and Winter 17)</w:t>
      </w:r>
    </w:p>
    <w:p w14:paraId="3A28E3BA" w14:textId="1975DDBC" w:rsidR="00EF5E05" w:rsidRDefault="002C76D6" w:rsidP="004B2024">
      <w:pPr>
        <w:ind w:left="720"/>
      </w:pPr>
      <w:r>
        <w:rPr>
          <w:noProof/>
        </w:rPr>
        <w:drawing>
          <wp:inline distT="0" distB="0" distL="0" distR="0" wp14:anchorId="304968A5" wp14:editId="11E90B76">
            <wp:extent cx="4581525" cy="2743200"/>
            <wp:effectExtent l="0" t="0" r="9525" b="0"/>
            <wp:docPr id="1" name="Picture 1" descr="4524 OER enrollments in Spring 17&#10;28992 Overall Enrollment&#10;&#10;1171 OER enrollments for Winter 17&#10;12685 overall enroll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yhs-eYuFsCXbrhgQaWqCI-Le-3Wg6uUj9rLUIkBq8QXUMfUud-iOrgzyQUb4HdW1H8qqUlwIev8EoKwsGRexApRWYogPQRncTKvkXkeqhtTEysDiTJ6Iahdcfz9bbZQxYavVZ0mdyV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14:paraId="59C84671" w14:textId="73435263" w:rsidR="004C57FC" w:rsidRDefault="004C57FC" w:rsidP="004B2024">
      <w:pPr>
        <w:ind w:left="720"/>
      </w:pPr>
    </w:p>
    <w:p w14:paraId="78BC8B09" w14:textId="60907F29" w:rsidR="004C57FC" w:rsidRDefault="004C57FC" w:rsidP="004B2024">
      <w:pPr>
        <w:ind w:left="720"/>
      </w:pPr>
      <w:r>
        <w:rPr>
          <w:noProof/>
        </w:rPr>
        <w:drawing>
          <wp:inline distT="0" distB="0" distL="0" distR="0" wp14:anchorId="1FF8548A" wp14:editId="275E1D23">
            <wp:extent cx="5314950" cy="2933700"/>
            <wp:effectExtent l="0" t="0" r="0" b="0"/>
            <wp:docPr id="2" name="Picture 2" descr="Demographic data representing African American, Asian, Hispanic and White enrollments for OER in Winter and Spring.  The enrollment percentages are very similar indicating similar patterns of enrollment within each ethnic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549zVhbCMAYlmyze0_kTAUA3kRdpFdpPRcuHUj0IyeI1GsRfxScip15uoJZ4sPWr2DCq4S0fu6ZrbvkAO-Dw-HXBHnWT7-L01eJeiQ-B4XV3MSTC4pGCq5kOIQTqBolDjC673SD4mQ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4950" cy="2933700"/>
                    </a:xfrm>
                    <a:prstGeom prst="rect">
                      <a:avLst/>
                    </a:prstGeom>
                    <a:noFill/>
                    <a:ln>
                      <a:noFill/>
                    </a:ln>
                  </pic:spPr>
                </pic:pic>
              </a:graphicData>
            </a:graphic>
          </wp:inline>
        </w:drawing>
      </w:r>
    </w:p>
    <w:p w14:paraId="226B319F" w14:textId="055B5F8E" w:rsidR="00EC1D2C" w:rsidRDefault="00EC1D2C" w:rsidP="004B2024">
      <w:pPr>
        <w:ind w:left="720"/>
      </w:pPr>
    </w:p>
    <w:p w14:paraId="1D6D864E" w14:textId="0DC62F43" w:rsidR="00EC1D2C" w:rsidRDefault="00EC1D2C" w:rsidP="004B2024">
      <w:pPr>
        <w:ind w:left="720"/>
      </w:pPr>
    </w:p>
    <w:p w14:paraId="070FD76A" w14:textId="24405431" w:rsidR="00EC1D2C" w:rsidRDefault="00F4779C" w:rsidP="004B2024">
      <w:pPr>
        <w:ind w:left="720"/>
      </w:pPr>
      <w:r>
        <w:rPr>
          <w:noProof/>
        </w:rPr>
        <w:lastRenderedPageBreak/>
        <w:drawing>
          <wp:inline distT="0" distB="0" distL="0" distR="0" wp14:anchorId="5CA6739C" wp14:editId="762DECFB">
            <wp:extent cx="4572000" cy="2743200"/>
            <wp:effectExtent l="0" t="0" r="0" b="0"/>
            <wp:docPr id="3" name="Picture 3" descr="Retention &amp; Success rates for OER sections in Winter 2017 and Spring 2017.  Retention rates were 86% and 81% respectively, and success rates were 76% and 6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sYwVyl8z-sXZVimcF9nODyPjePNegF3fAMVpJ9dXuYoiaCy_u_YpqTkYe988RZjJl5ebCOSs5yf53T4_Hmv1wER282xq5eWC_QXXujnhQGRbJ9Rduqdl4MCtHrC7pcn0K4wIzE3vdw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52EAAC46" w14:textId="0FDFD66B" w:rsidR="00F4779C" w:rsidRDefault="00F4779C" w:rsidP="004B2024">
      <w:pPr>
        <w:ind w:left="720"/>
      </w:pPr>
    </w:p>
    <w:p w14:paraId="19318A4F" w14:textId="634A1757" w:rsidR="00F4779C" w:rsidRDefault="00F4779C" w:rsidP="004B2024">
      <w:pPr>
        <w:ind w:left="720"/>
      </w:pPr>
      <w:r>
        <w:rPr>
          <w:noProof/>
        </w:rPr>
        <w:drawing>
          <wp:inline distT="0" distB="0" distL="0" distR="0" wp14:anchorId="2140D8B5" wp14:editId="7BEAE033">
            <wp:extent cx="4581525" cy="2743200"/>
            <wp:effectExtent l="0" t="0" r="9525" b="0"/>
            <wp:docPr id="4" name="Picture 4" descr="Retention and Success rates for Natural Sciences - comparing overall to OER during Spring 17.  OER sections demonstrated higher levels of success and retention than the rest of the di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wTrvEh9RM8skZJI27WRpweYTTLXPC5qTBVV6G4b5mC3whULppfPeEdPjhgQDNWxC-3CB21lITs10O7pF0zLHNmajJp_j6TDEKKSGDoXX96_6xYxpZ6x6Biyx7XMhrGCJx3OADpwVcM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14:paraId="2C6E4018" w14:textId="0A87A9E4" w:rsidR="00F4779C" w:rsidRDefault="00F4779C" w:rsidP="004B2024">
      <w:pPr>
        <w:ind w:left="720"/>
      </w:pPr>
    </w:p>
    <w:p w14:paraId="118D3C90" w14:textId="34EA6CA7" w:rsidR="00F4779C" w:rsidRDefault="00F4779C" w:rsidP="004B2024">
      <w:pPr>
        <w:ind w:left="720"/>
      </w:pPr>
      <w:r>
        <w:rPr>
          <w:noProof/>
        </w:rPr>
        <w:lastRenderedPageBreak/>
        <w:drawing>
          <wp:inline distT="0" distB="0" distL="0" distR="0" wp14:anchorId="76F85E03" wp14:editId="14E8A875">
            <wp:extent cx="4581525" cy="2743200"/>
            <wp:effectExtent l="0" t="0" r="9525" b="0"/>
            <wp:docPr id="5" name="Picture 5" descr="Retention and Success rates of Social Science classes overall and then just for the OER sections.  There were no significant different between the two, with the overall slightly higher than OER in bo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6.googleusercontent.com/Q3HXngMQn3gCqTHRVO8NWDWnIyFLtF1xO6Q2NrlDAhpnNpjmfjsoCMvAVdPnbhvdIcOLG3fbNm7pB6BBeBSkXHzOaND80hv8EC2s2ouEsipr0TRFuDdzjVnyrQK3gxpWrBftz7GDm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r w:rsidR="00B1239F">
        <w:br/>
      </w:r>
    </w:p>
    <w:p w14:paraId="35AD2B88" w14:textId="5694EE8D" w:rsidR="0059241E" w:rsidRDefault="00C84E6A" w:rsidP="00064E79">
      <w:pPr>
        <w:ind w:left="720"/>
      </w:pPr>
      <w:r>
        <w:t>MATH 125 – SLO Assessments</w:t>
      </w:r>
    </w:p>
    <w:p w14:paraId="606FEB93" w14:textId="15800EEE" w:rsidR="00C84E6A" w:rsidRDefault="00C84E6A" w:rsidP="004B2024">
      <w:pPr>
        <w:ind w:left="720"/>
      </w:pPr>
      <w:r>
        <w:rPr>
          <w:noProof/>
        </w:rPr>
        <w:drawing>
          <wp:inline distT="0" distB="0" distL="0" distR="0" wp14:anchorId="2A9A16E4" wp14:editId="7E069662">
            <wp:extent cx="6248400" cy="1258736"/>
            <wp:effectExtent l="0" t="0" r="0" b="0"/>
            <wp:docPr id="6" name="Picture 6" descr="Math 125 SLO data from Fall 2015, Fall 2016, Fall 2017.  Math 125 started using OER Fall 2016 -- and then switched to a different OER in Fall 2017.  There has been movement between the years, but nothing significant.  2017 saw a 4% increase in Adequate and above from 2015, a 2% increase in Inadequate, and a 13% decrease in develop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n-9jk-kBTJQHWgHVfZ3_kMVYNz_WbBtHE75mqpnCfRSAqd0jqIO2lcWiOW48QDk5F6lo9Qm-nSbPwnB_TSVXnDVMQtdvcYgfp04iViaLeMN6MflODyZ0DSVygURYt_miMeBRV1YAMs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084" cy="1268946"/>
                    </a:xfrm>
                    <a:prstGeom prst="rect">
                      <a:avLst/>
                    </a:prstGeom>
                    <a:noFill/>
                    <a:ln>
                      <a:noFill/>
                    </a:ln>
                  </pic:spPr>
                </pic:pic>
              </a:graphicData>
            </a:graphic>
          </wp:inline>
        </w:drawing>
      </w:r>
      <w:r w:rsidR="0059241E">
        <w:t>MATH 131 – SLO Assessments</w:t>
      </w:r>
    </w:p>
    <w:p w14:paraId="65C5474A" w14:textId="55527944" w:rsidR="00B1239F" w:rsidRDefault="00C047EF" w:rsidP="004B2024">
      <w:pPr>
        <w:ind w:left="720"/>
      </w:pPr>
      <w:r>
        <w:rPr>
          <w:noProof/>
        </w:rPr>
        <w:drawing>
          <wp:inline distT="0" distB="0" distL="0" distR="0" wp14:anchorId="5762B3E0" wp14:editId="324056B9">
            <wp:extent cx="6221095" cy="1245761"/>
            <wp:effectExtent l="0" t="0" r="0" b="0"/>
            <wp:docPr id="7" name="Picture 7" descr="Math 131 SLO data is similar to MATH 125 data for Fall 2015, 2016 and 2017.  But they saw a sharper increase in success in Fall 2017 with a 7% increase scoring at Adequate and abo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5.googleusercontent.com/zIrWHTj5N13BrOeef76ygTEjKeskJoid_uYB0G1LQ_IIpnHobCaGqP56F1ylNDBhp6Kf3UArFzWnu8KGSHOqZYFgNBBcvctp7Dcpbgqx62ZM0U1Qiv3-aobQbmkwcDr2s_911kDLys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1688" cy="1265905"/>
                    </a:xfrm>
                    <a:prstGeom prst="rect">
                      <a:avLst/>
                    </a:prstGeom>
                    <a:noFill/>
                    <a:ln>
                      <a:noFill/>
                    </a:ln>
                  </pic:spPr>
                </pic:pic>
              </a:graphicData>
            </a:graphic>
          </wp:inline>
        </w:drawing>
      </w:r>
    </w:p>
    <w:p w14:paraId="580319D7" w14:textId="0061744C" w:rsidR="005D046C" w:rsidRDefault="005D046C" w:rsidP="004B2024">
      <w:pPr>
        <w:ind w:left="720"/>
      </w:pPr>
    </w:p>
    <w:p w14:paraId="35B72D00" w14:textId="0822A74C" w:rsidR="0008633C" w:rsidRDefault="0008633C" w:rsidP="004B2024">
      <w:pPr>
        <w:ind w:left="720"/>
      </w:pPr>
    </w:p>
    <w:p w14:paraId="3478D4E5" w14:textId="1A8C1735" w:rsidR="0008633C" w:rsidRDefault="0008633C" w:rsidP="004B2024">
      <w:pPr>
        <w:ind w:left="720"/>
      </w:pPr>
    </w:p>
    <w:p w14:paraId="0B6300B5" w14:textId="701ED8EC" w:rsidR="0008633C" w:rsidRDefault="0008633C" w:rsidP="004B2024">
      <w:pPr>
        <w:ind w:left="720"/>
      </w:pPr>
    </w:p>
    <w:p w14:paraId="6A74C646" w14:textId="1CE7650A" w:rsidR="0008633C" w:rsidRDefault="0008633C" w:rsidP="004B2024">
      <w:pPr>
        <w:ind w:left="720"/>
      </w:pPr>
    </w:p>
    <w:p w14:paraId="741C02E7" w14:textId="71A842B0" w:rsidR="0008633C" w:rsidRDefault="0008633C" w:rsidP="004B2024">
      <w:pPr>
        <w:ind w:left="720"/>
      </w:pPr>
    </w:p>
    <w:p w14:paraId="5F1353FE" w14:textId="038A336F" w:rsidR="0008633C" w:rsidRDefault="0008633C" w:rsidP="004B2024">
      <w:pPr>
        <w:ind w:left="720"/>
      </w:pPr>
    </w:p>
    <w:p w14:paraId="67E3DBF9" w14:textId="68BB114F" w:rsidR="0008633C" w:rsidRDefault="0008633C" w:rsidP="004B2024">
      <w:pPr>
        <w:ind w:left="720"/>
      </w:pPr>
      <w:r>
        <w:lastRenderedPageBreak/>
        <w:t>This is for Spring 2018</w:t>
      </w:r>
    </w:p>
    <w:p w14:paraId="22ACB609" w14:textId="77777777" w:rsidR="0008633C" w:rsidRDefault="0008633C" w:rsidP="004B2024">
      <w:pPr>
        <w:ind w:left="720"/>
      </w:pPr>
    </w:p>
    <w:p w14:paraId="3918FFA2" w14:textId="0A13F165" w:rsidR="005D046C" w:rsidRDefault="0008633C" w:rsidP="004B2024">
      <w:pPr>
        <w:ind w:left="720"/>
      </w:pPr>
      <w:bookmarkStart w:id="0" w:name="_GoBack"/>
      <w:r w:rsidRPr="0008633C">
        <w:drawing>
          <wp:inline distT="0" distB="0" distL="0" distR="0" wp14:anchorId="3A206172" wp14:editId="1EA53CD2">
            <wp:extent cx="5943600" cy="3611245"/>
            <wp:effectExtent l="0" t="0" r="0" b="8255"/>
            <wp:docPr id="9" name="Chart 9" descr="This chart breaks down by academic division the number of sections that are labeled ZTC for Spring.  Performing and Communication Arts leads the way with 115 sections, followed by Social Sciences at 65, and Natural Sciences at 48. Languages &amp; ESL has 17, Noncredit has 15, Business has 6, Library has 5, and Engineering and Technology has 3. " title="ZTC Sections">
              <a:extLst xmlns:a="http://schemas.openxmlformats.org/drawingml/2006/main">
                <a:ext uri="{FF2B5EF4-FFF2-40B4-BE49-F238E27FC236}">
                  <a16:creationId xmlns:a16="http://schemas.microsoft.com/office/drawing/2014/main" id="{75FDF69B-3211-4FA4-B2FE-E0CDD0D692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0"/>
    </w:p>
    <w:sectPr w:rsidR="005D046C" w:rsidSect="004B2024">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24"/>
    <w:rsid w:val="00010636"/>
    <w:rsid w:val="00064E79"/>
    <w:rsid w:val="0008633C"/>
    <w:rsid w:val="00096A2E"/>
    <w:rsid w:val="000B14C2"/>
    <w:rsid w:val="002B135F"/>
    <w:rsid w:val="002C76D6"/>
    <w:rsid w:val="002E3C97"/>
    <w:rsid w:val="0038456F"/>
    <w:rsid w:val="003E7A28"/>
    <w:rsid w:val="00437567"/>
    <w:rsid w:val="0045130F"/>
    <w:rsid w:val="0045655A"/>
    <w:rsid w:val="004B2024"/>
    <w:rsid w:val="004C57FC"/>
    <w:rsid w:val="00526BFB"/>
    <w:rsid w:val="00572E30"/>
    <w:rsid w:val="0059241E"/>
    <w:rsid w:val="005D046C"/>
    <w:rsid w:val="00623F6A"/>
    <w:rsid w:val="00651DC2"/>
    <w:rsid w:val="00825CAC"/>
    <w:rsid w:val="00866564"/>
    <w:rsid w:val="008F4CBC"/>
    <w:rsid w:val="009E70DE"/>
    <w:rsid w:val="00A12078"/>
    <w:rsid w:val="00AB58A0"/>
    <w:rsid w:val="00B03FEF"/>
    <w:rsid w:val="00B1239F"/>
    <w:rsid w:val="00B332DB"/>
    <w:rsid w:val="00B359CB"/>
    <w:rsid w:val="00B524F5"/>
    <w:rsid w:val="00C00C09"/>
    <w:rsid w:val="00C047EF"/>
    <w:rsid w:val="00C84E6A"/>
    <w:rsid w:val="00DA364F"/>
    <w:rsid w:val="00EC1D2C"/>
    <w:rsid w:val="00EF5E05"/>
    <w:rsid w:val="00F4779C"/>
    <w:rsid w:val="00F637C0"/>
    <w:rsid w:val="00FC7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733B"/>
  <w15:chartTrackingRefBased/>
  <w15:docId w15:val="{DDB63691-40F6-4B83-B696-4D06AB52B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2024"/>
    <w:pPr>
      <w:keepNext/>
      <w:keepLines/>
      <w:spacing w:before="240" w:after="0"/>
      <w:outlineLvl w:val="0"/>
    </w:pPr>
    <w:rPr>
      <w:rFonts w:asciiTheme="majorHAnsi" w:eastAsiaTheme="majorEastAsia" w:hAnsiTheme="majorHAnsi" w:cstheme="majorBidi"/>
      <w:color w:val="6B0000" w:themeColor="accent1" w:themeShade="BF"/>
      <w:sz w:val="32"/>
      <w:szCs w:val="32"/>
    </w:rPr>
  </w:style>
  <w:style w:type="paragraph" w:styleId="Heading2">
    <w:name w:val="heading 2"/>
    <w:basedOn w:val="Normal"/>
    <w:next w:val="Normal"/>
    <w:link w:val="Heading2Char"/>
    <w:uiPriority w:val="9"/>
    <w:unhideWhenUsed/>
    <w:qFormat/>
    <w:rsid w:val="004B2024"/>
    <w:pPr>
      <w:keepNext/>
      <w:keepLines/>
      <w:spacing w:before="40" w:after="0"/>
      <w:outlineLvl w:val="1"/>
    </w:pPr>
    <w:rPr>
      <w:rFonts w:asciiTheme="majorHAnsi" w:eastAsiaTheme="majorEastAsia" w:hAnsiTheme="majorHAnsi" w:cstheme="majorBidi"/>
      <w:color w:val="6B0000" w:themeColor="accent1" w:themeShade="BF"/>
      <w:sz w:val="26"/>
      <w:szCs w:val="26"/>
    </w:rPr>
  </w:style>
  <w:style w:type="paragraph" w:styleId="Heading3">
    <w:name w:val="heading 3"/>
    <w:basedOn w:val="Normal"/>
    <w:next w:val="Normal"/>
    <w:link w:val="Heading3Char"/>
    <w:uiPriority w:val="9"/>
    <w:unhideWhenUsed/>
    <w:qFormat/>
    <w:rsid w:val="004B2024"/>
    <w:pPr>
      <w:keepNext/>
      <w:keepLines/>
      <w:spacing w:before="40" w:after="0"/>
      <w:outlineLvl w:val="2"/>
    </w:pPr>
    <w:rPr>
      <w:rFonts w:asciiTheme="majorHAnsi" w:eastAsiaTheme="majorEastAsia" w:hAnsiTheme="majorHAnsi" w:cstheme="majorBidi"/>
      <w:color w:val="47000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024"/>
    <w:rPr>
      <w:rFonts w:asciiTheme="majorHAnsi" w:eastAsiaTheme="majorEastAsia" w:hAnsiTheme="majorHAnsi" w:cstheme="majorBidi"/>
      <w:color w:val="6B0000" w:themeColor="accent1" w:themeShade="BF"/>
      <w:sz w:val="32"/>
      <w:szCs w:val="32"/>
    </w:rPr>
  </w:style>
  <w:style w:type="character" w:customStyle="1" w:styleId="Heading2Char">
    <w:name w:val="Heading 2 Char"/>
    <w:basedOn w:val="DefaultParagraphFont"/>
    <w:link w:val="Heading2"/>
    <w:uiPriority w:val="9"/>
    <w:rsid w:val="004B2024"/>
    <w:rPr>
      <w:rFonts w:asciiTheme="majorHAnsi" w:eastAsiaTheme="majorEastAsia" w:hAnsiTheme="majorHAnsi" w:cstheme="majorBidi"/>
      <w:color w:val="6B0000" w:themeColor="accent1" w:themeShade="BF"/>
      <w:sz w:val="26"/>
      <w:szCs w:val="26"/>
    </w:rPr>
  </w:style>
  <w:style w:type="character" w:customStyle="1" w:styleId="Heading3Char">
    <w:name w:val="Heading 3 Char"/>
    <w:basedOn w:val="DefaultParagraphFont"/>
    <w:link w:val="Heading3"/>
    <w:uiPriority w:val="9"/>
    <w:rsid w:val="004B2024"/>
    <w:rPr>
      <w:rFonts w:asciiTheme="majorHAnsi" w:eastAsiaTheme="majorEastAsia" w:hAnsiTheme="majorHAnsi" w:cstheme="majorBidi"/>
      <w:color w:val="47000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hart" Target="charts/chart1.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5.1247662401574801E-2"/>
          <c:y val="1.8832122365149952E-2"/>
          <c:w val="0.92687733759842517"/>
          <c:h val="0.48220401807307961"/>
        </c:manualLayout>
      </c:layout>
      <c:barChart>
        <c:barDir val="col"/>
        <c:grouping val="clustered"/>
        <c:varyColors val="0"/>
        <c:ser>
          <c:idx val="0"/>
          <c:order val="0"/>
          <c:tx>
            <c:strRef>
              <c:f>Sheet1!$B$1</c:f>
              <c:strCache>
                <c:ptCount val="1"/>
                <c:pt idx="0">
                  <c:v>ZTC Sections</c:v>
                </c:pt>
              </c:strCache>
            </c:strRef>
          </c:tx>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6055-4544-922D-213528C8B36F}"/>
              </c:ext>
            </c:extLst>
          </c:dPt>
          <c:dPt>
            <c:idx val="2"/>
            <c:invertIfNegative val="0"/>
            <c:bubble3D val="0"/>
            <c:spPr>
              <a:solidFill>
                <a:srgbClr val="7030A0"/>
              </a:solidFill>
              <a:ln>
                <a:noFill/>
              </a:ln>
              <a:effectLst/>
            </c:spPr>
            <c:extLst>
              <c:ext xmlns:c16="http://schemas.microsoft.com/office/drawing/2014/chart" uri="{C3380CC4-5D6E-409C-BE32-E72D297353CC}">
                <c16:uniqueId val="{00000003-6055-4544-922D-213528C8B36F}"/>
              </c:ext>
            </c:extLst>
          </c:dPt>
          <c:dPt>
            <c:idx val="3"/>
            <c:invertIfNegative val="0"/>
            <c:bubble3D val="0"/>
            <c:spPr>
              <a:solidFill>
                <a:schemeClr val="accent2"/>
              </a:solidFill>
              <a:ln>
                <a:noFill/>
              </a:ln>
              <a:effectLst/>
            </c:spPr>
            <c:extLst>
              <c:ext xmlns:c16="http://schemas.microsoft.com/office/drawing/2014/chart" uri="{C3380CC4-5D6E-409C-BE32-E72D297353CC}">
                <c16:uniqueId val="{00000005-6055-4544-922D-213528C8B36F}"/>
              </c:ext>
            </c:extLst>
          </c:dPt>
          <c:dPt>
            <c:idx val="4"/>
            <c:invertIfNegative val="0"/>
            <c:bubble3D val="0"/>
            <c:spPr>
              <a:solidFill>
                <a:srgbClr val="92D050"/>
              </a:solidFill>
              <a:ln>
                <a:noFill/>
              </a:ln>
              <a:effectLst/>
            </c:spPr>
            <c:extLst>
              <c:ext xmlns:c16="http://schemas.microsoft.com/office/drawing/2014/chart" uri="{C3380CC4-5D6E-409C-BE32-E72D297353CC}">
                <c16:uniqueId val="{00000007-6055-4544-922D-213528C8B36F}"/>
              </c:ext>
            </c:extLst>
          </c:dPt>
          <c:dPt>
            <c:idx val="5"/>
            <c:invertIfNegative val="0"/>
            <c:bubble3D val="0"/>
            <c:spPr>
              <a:solidFill>
                <a:srgbClr val="00B0F0"/>
              </a:solidFill>
              <a:ln>
                <a:noFill/>
              </a:ln>
              <a:effectLst/>
            </c:spPr>
            <c:extLst>
              <c:ext xmlns:c16="http://schemas.microsoft.com/office/drawing/2014/chart" uri="{C3380CC4-5D6E-409C-BE32-E72D297353CC}">
                <c16:uniqueId val="{00000009-6055-4544-922D-213528C8B36F}"/>
              </c:ext>
            </c:extLst>
          </c:dPt>
          <c:dPt>
            <c:idx val="6"/>
            <c:invertIfNegative val="0"/>
            <c:bubble3D val="0"/>
            <c:spPr>
              <a:solidFill>
                <a:srgbClr val="C00000"/>
              </a:solidFill>
              <a:ln>
                <a:noFill/>
              </a:ln>
              <a:effectLst/>
            </c:spPr>
            <c:extLst>
              <c:ext xmlns:c16="http://schemas.microsoft.com/office/drawing/2014/chart" uri="{C3380CC4-5D6E-409C-BE32-E72D297353CC}">
                <c16:uniqueId val="{0000000B-6055-4544-922D-213528C8B36F}"/>
              </c:ext>
            </c:extLst>
          </c:dPt>
          <c:dPt>
            <c:idx val="7"/>
            <c:invertIfNegative val="0"/>
            <c:bubble3D val="0"/>
            <c:spPr>
              <a:solidFill>
                <a:srgbClr val="FFC000"/>
              </a:solidFill>
              <a:ln>
                <a:noFill/>
              </a:ln>
              <a:effectLst/>
            </c:spPr>
            <c:extLst>
              <c:ext xmlns:c16="http://schemas.microsoft.com/office/drawing/2014/chart" uri="{C3380CC4-5D6E-409C-BE32-E72D297353CC}">
                <c16:uniqueId val="{0000000D-6055-4544-922D-213528C8B36F}"/>
              </c:ext>
            </c:extLst>
          </c:dPt>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Sheet1!$A$2:$A$9</c:f>
              <c:strCache>
                <c:ptCount val="8"/>
                <c:pt idx="0">
                  <c:v>Business</c:v>
                </c:pt>
                <c:pt idx="1">
                  <c:v>Engineering &amp; Technology</c:v>
                </c:pt>
                <c:pt idx="2">
                  <c:v>Languages &amp; ESL</c:v>
                </c:pt>
                <c:pt idx="3">
                  <c:v>Library</c:v>
                </c:pt>
                <c:pt idx="4">
                  <c:v>Natural Sciences</c:v>
                </c:pt>
                <c:pt idx="5">
                  <c:v>Noncredit</c:v>
                </c:pt>
                <c:pt idx="6">
                  <c:v>Performing and Communication Arts</c:v>
                </c:pt>
                <c:pt idx="7">
                  <c:v>Social Sciences</c:v>
                </c:pt>
              </c:strCache>
            </c:strRef>
          </c:cat>
          <c:val>
            <c:numRef>
              <c:f>Sheet1!$B$2:$B$9</c:f>
              <c:numCache>
                <c:formatCode>General</c:formatCode>
                <c:ptCount val="8"/>
                <c:pt idx="0">
                  <c:v>6</c:v>
                </c:pt>
                <c:pt idx="1">
                  <c:v>3</c:v>
                </c:pt>
                <c:pt idx="2">
                  <c:v>17</c:v>
                </c:pt>
                <c:pt idx="3">
                  <c:v>5</c:v>
                </c:pt>
                <c:pt idx="4">
                  <c:v>48</c:v>
                </c:pt>
                <c:pt idx="5">
                  <c:v>15</c:v>
                </c:pt>
                <c:pt idx="6">
                  <c:v>115</c:v>
                </c:pt>
                <c:pt idx="7">
                  <c:v>65</c:v>
                </c:pt>
              </c:numCache>
            </c:numRef>
          </c:val>
          <c:extLst>
            <c:ext xmlns:c16="http://schemas.microsoft.com/office/drawing/2014/chart" uri="{C3380CC4-5D6E-409C-BE32-E72D297353CC}">
              <c16:uniqueId val="{0000000E-6055-4544-922D-213528C8B36F}"/>
            </c:ext>
          </c:extLst>
        </c:ser>
        <c:dLbls>
          <c:dLblPos val="outEnd"/>
          <c:showLegendKey val="0"/>
          <c:showVal val="1"/>
          <c:showCatName val="0"/>
          <c:showSerName val="0"/>
          <c:showPercent val="0"/>
          <c:showBubbleSize val="0"/>
        </c:dLbls>
        <c:gapWidth val="219"/>
        <c:overlap val="-27"/>
        <c:axId val="434086480"/>
        <c:axId val="434086808"/>
      </c:barChart>
      <c:catAx>
        <c:axId val="43408648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34086808"/>
        <c:crosses val="autoZero"/>
        <c:auto val="1"/>
        <c:lblAlgn val="ctr"/>
        <c:lblOffset val="100"/>
        <c:noMultiLvlLbl val="0"/>
      </c:catAx>
      <c:valAx>
        <c:axId val="434086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340864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900000"/>
      </a:accent1>
      <a:accent2>
        <a:srgbClr val="ED7D31"/>
      </a:accent2>
      <a:accent3>
        <a:srgbClr val="A5A5A5"/>
      </a:accent3>
      <a:accent4>
        <a:srgbClr val="FFC000"/>
      </a:accent4>
      <a:accent5>
        <a:srgbClr val="4472C4"/>
      </a:accent5>
      <a:accent6>
        <a:srgbClr val="C00000"/>
      </a:accent6>
      <a:hlink>
        <a:srgbClr val="FFFF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Butler</dc:creator>
  <cp:keywords/>
  <dc:description/>
  <cp:lastModifiedBy>Walter Butler</cp:lastModifiedBy>
  <cp:revision>31</cp:revision>
  <dcterms:created xsi:type="dcterms:W3CDTF">2018-03-08T18:41:00Z</dcterms:created>
  <dcterms:modified xsi:type="dcterms:W3CDTF">2018-03-08T19:31:00Z</dcterms:modified>
</cp:coreProperties>
</file>