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Educational Policy Committee Meeting</w:t>
      </w:r>
    </w:p>
    <w:p w:rsidR="00000000" w:rsidDel="00000000" w:rsidP="00000000" w:rsidRDefault="00000000" w:rsidRPr="00000000" w14:paraId="00000003">
      <w:pPr>
        <w:spacing w:after="240" w:befor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Agenda 4/8/2020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Call to Order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Approval of Minutes from 4/1/2020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Update and Discussion on AP5075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Continue Overview of AP/BP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Policies Requiring Revision (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Link to Policies/Procedures</w:t>
        </w:r>
      </w:hyperlink>
      <w:r w:rsidDel="00000000" w:rsidR="00000000" w:rsidRPr="00000000">
        <w:rPr>
          <w:b w:val="1"/>
          <w:rtl w:val="0"/>
        </w:rPr>
        <w:t xml:space="preserve">)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·         BP/AP 4021Program Discontinuance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·         BP/AP 4102 Career and Technical Education Programs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·         BP/AP 4220 Standards of Scholarship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·         BP/AP 4225 Course Repetition (Academic Senate approved C&amp;I changes 11/4—back to C&amp;I for further revisions)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·         BP/AP 4230 Grade Appeal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·         BP/AP 4250 Probation, Disqualification, and Readmission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·         AP 5075 Course Attendance, Adds, Drops, and Withdrawals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Adjournment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o.boarddocs.com/ca/pasadena/Board.nsf/goto?open&amp;id=AM2Q546341AC#tab-polic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